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A1014F" w:rsidRDefault="00D21AA5" w:rsidP="001F6D8B">
      <w:pPr>
        <w:spacing w:after="3"/>
        <w:ind w:left="-15" w:right="107"/>
        <w:rPr>
          <w:b/>
          <w:lang w:val="ru-RU"/>
        </w:rPr>
      </w:pPr>
      <w:r w:rsidRPr="00A1014F">
        <w:rPr>
          <w:b/>
          <w:lang w:val="ru-RU"/>
        </w:rPr>
        <w:t>Запрос котировок в бумажной форме,</w:t>
      </w:r>
      <w:r w:rsidR="009C5445" w:rsidRPr="00A1014F">
        <w:rPr>
          <w:b/>
          <w:lang w:val="ru-RU"/>
        </w:rPr>
        <w:t xml:space="preserve"> </w:t>
      </w:r>
      <w:r w:rsidR="000942D9" w:rsidRPr="00A1014F">
        <w:rPr>
          <w:b/>
          <w:lang w:val="ru-RU"/>
        </w:rPr>
        <w:t>закупка</w:t>
      </w:r>
      <w:r w:rsidRPr="00A1014F">
        <w:rPr>
          <w:b/>
          <w:lang w:val="ru-RU"/>
        </w:rPr>
        <w:t xml:space="preserve"> №</w:t>
      </w:r>
      <w:r w:rsidR="001A3107" w:rsidRPr="00A1014F">
        <w:rPr>
          <w:b/>
          <w:lang w:val="ru-RU"/>
        </w:rPr>
        <w:t xml:space="preserve"> </w:t>
      </w:r>
      <w:r w:rsidR="00C468BF">
        <w:rPr>
          <w:b/>
          <w:color w:val="000000" w:themeColor="text1"/>
          <w:szCs w:val="28"/>
          <w:lang w:val="ru-RU"/>
        </w:rPr>
        <w:t>23151101016</w:t>
      </w:r>
      <w:r w:rsidR="00BD110B" w:rsidRPr="00A1014F">
        <w:rPr>
          <w:b/>
          <w:color w:val="000000" w:themeColor="text1"/>
          <w:szCs w:val="28"/>
          <w:lang w:val="ru-RU"/>
        </w:rPr>
        <w:t xml:space="preserve"> </w:t>
      </w:r>
      <w:r w:rsidR="004B2F14" w:rsidRPr="00A1014F">
        <w:rPr>
          <w:b/>
          <w:color w:val="000000" w:themeColor="text1"/>
          <w:szCs w:val="28"/>
          <w:lang w:val="ru-RU"/>
        </w:rPr>
        <w:t xml:space="preserve"> </w:t>
      </w:r>
      <w:r w:rsidRPr="00A1014F">
        <w:rPr>
          <w:b/>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BD110B">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C468BF" w:rsidRDefault="002C4CCE" w:rsidP="005F675C">
      <w:pPr>
        <w:ind w:left="-15" w:right="108"/>
        <w:rPr>
          <w:b/>
          <w:lang w:val="ru-RU"/>
        </w:rPr>
      </w:pPr>
      <w:r w:rsidRPr="00A1014F">
        <w:rPr>
          <w:b/>
          <w:lang w:val="ru-RU"/>
        </w:rPr>
        <w:t>Предмет запроса котировок</w:t>
      </w:r>
      <w:r w:rsidR="1F13E2FD" w:rsidRPr="00A1014F">
        <w:rPr>
          <w:b/>
          <w:lang w:val="ru-RU"/>
        </w:rPr>
        <w:t>:</w:t>
      </w:r>
      <w:r w:rsidR="008B1688" w:rsidRPr="00A1014F">
        <w:rPr>
          <w:b/>
          <w:lang w:val="ru-RU"/>
        </w:rPr>
        <w:t xml:space="preserve"> </w:t>
      </w:r>
      <w:r w:rsidR="00074484" w:rsidRPr="00A1014F">
        <w:rPr>
          <w:b/>
          <w:lang w:val="ru-RU"/>
        </w:rPr>
        <w:t xml:space="preserve">право </w:t>
      </w:r>
      <w:r w:rsidR="00F804AD" w:rsidRPr="00A1014F">
        <w:rPr>
          <w:b/>
          <w:lang w:val="ru-RU"/>
        </w:rPr>
        <w:t xml:space="preserve">заключения договора </w:t>
      </w:r>
      <w:r w:rsidR="00C468BF" w:rsidRPr="00C468BF">
        <w:rPr>
          <w:b/>
          <w:lang w:val="ru-RU"/>
        </w:rPr>
        <w:t>на поставку зуботехнического оборудования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A1014F" w:rsidRDefault="1F13E2FD" w:rsidP="00CA2FAD">
      <w:pPr>
        <w:pStyle w:val="a4"/>
        <w:spacing w:line="235" w:lineRule="auto"/>
        <w:ind w:left="0" w:firstLine="709"/>
        <w:jc w:val="both"/>
        <w:rPr>
          <w:b/>
          <w:sz w:val="28"/>
          <w:szCs w:val="28"/>
          <w:lang w:val="ru-RU"/>
        </w:rPr>
      </w:pPr>
      <w:r w:rsidRPr="00CA2FAD">
        <w:rPr>
          <w:sz w:val="28"/>
          <w:szCs w:val="28"/>
          <w:lang w:val="ru-RU"/>
        </w:rPr>
        <w:lastRenderedPageBreak/>
        <w:t xml:space="preserve">Дата начала подачи заявок – </w:t>
      </w:r>
      <w:r w:rsidR="00C468BF">
        <w:rPr>
          <w:b/>
          <w:sz w:val="28"/>
          <w:szCs w:val="28"/>
          <w:lang w:val="ru-RU"/>
        </w:rPr>
        <w:t>20.03</w:t>
      </w:r>
      <w:r w:rsidR="004B2F14" w:rsidRPr="00A1014F">
        <w:rPr>
          <w:b/>
          <w:sz w:val="28"/>
          <w:szCs w:val="28"/>
          <w:lang w:val="ru-RU"/>
        </w:rPr>
        <w:t>.2023</w:t>
      </w:r>
      <w:r w:rsidR="00FF40DA" w:rsidRPr="00A1014F">
        <w:rPr>
          <w:b/>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C468BF">
        <w:rPr>
          <w:b/>
          <w:lang w:val="ru-RU"/>
        </w:rPr>
        <w:t>2</w:t>
      </w:r>
      <w:r w:rsidR="00B962F3">
        <w:rPr>
          <w:b/>
          <w:lang w:val="ru-RU"/>
        </w:rPr>
        <w:t>7</w:t>
      </w:r>
      <w:r w:rsidR="00C468BF">
        <w:rPr>
          <w:b/>
          <w:lang w:val="ru-RU"/>
        </w:rPr>
        <w:t>.03</w:t>
      </w:r>
      <w:r w:rsidR="00C45B0C" w:rsidRPr="00A1014F">
        <w:rPr>
          <w:b/>
          <w:lang w:val="ru-RU"/>
        </w:rPr>
        <w:t>.2023</w:t>
      </w:r>
      <w:r w:rsidR="00FF40DA" w:rsidRPr="00A1014F">
        <w:rPr>
          <w:b/>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C468BF">
        <w:rPr>
          <w:b/>
          <w:bCs/>
          <w:szCs w:val="28"/>
          <w:lang w:val="ru-RU"/>
        </w:rPr>
        <w:t>2</w:t>
      </w:r>
      <w:r w:rsidR="00B962F3">
        <w:rPr>
          <w:b/>
          <w:bCs/>
          <w:szCs w:val="28"/>
          <w:lang w:val="ru-RU"/>
        </w:rPr>
        <w:t>7</w:t>
      </w:r>
      <w:r w:rsidR="00C468BF">
        <w:rPr>
          <w:b/>
          <w:bCs/>
          <w:szCs w:val="28"/>
          <w:lang w:val="ru-RU"/>
        </w:rPr>
        <w:t>.03</w:t>
      </w:r>
      <w:r w:rsidR="00C45B0C" w:rsidRPr="00A1014F">
        <w:rPr>
          <w:b/>
          <w:bCs/>
          <w:szCs w:val="28"/>
          <w:lang w:val="ru-RU"/>
        </w:rPr>
        <w:t>.2023</w:t>
      </w:r>
      <w:r w:rsidR="00FF40DA" w:rsidRPr="00A1014F">
        <w:rPr>
          <w:b/>
          <w:bCs/>
          <w:szCs w:val="28"/>
          <w:lang w:val="ru-RU"/>
        </w:rPr>
        <w:t xml:space="preserve"> г. в 14.00 час</w:t>
      </w:r>
      <w:proofErr w:type="gramStart"/>
      <w:r w:rsidR="00FF40DA" w:rsidRPr="00A1014F">
        <w:rPr>
          <w:b/>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C468BF">
        <w:rPr>
          <w:b/>
          <w:lang w:val="ru-RU"/>
        </w:rPr>
        <w:t>2</w:t>
      </w:r>
      <w:r w:rsidR="00B962F3">
        <w:rPr>
          <w:b/>
          <w:lang w:val="ru-RU"/>
        </w:rPr>
        <w:t>7</w:t>
      </w:r>
      <w:r w:rsidR="00C468BF">
        <w:rPr>
          <w:b/>
          <w:lang w:val="ru-RU"/>
        </w:rPr>
        <w:t>.03</w:t>
      </w:r>
      <w:r w:rsidR="00C45B0C" w:rsidRPr="00A1014F">
        <w:rPr>
          <w:b/>
          <w:lang w:val="ru-RU"/>
        </w:rPr>
        <w:t>.2023</w:t>
      </w:r>
      <w:r w:rsidR="00FF40DA" w:rsidRPr="00A1014F">
        <w:rPr>
          <w:b/>
          <w:lang w:val="ru-RU"/>
        </w:rPr>
        <w:t xml:space="preserve"> г. в 14.10 час</w:t>
      </w:r>
      <w:proofErr w:type="gramStart"/>
      <w:r w:rsidR="00FF40DA" w:rsidRPr="00A1014F">
        <w:rPr>
          <w:b/>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C468BF" w:rsidRDefault="00D21AA5" w:rsidP="00D86825">
      <w:pPr>
        <w:ind w:left="-15" w:right="108"/>
        <w:rPr>
          <w:b/>
          <w:lang w:val="ru-RU"/>
        </w:rPr>
      </w:pPr>
      <w:r w:rsidRPr="004466A8">
        <w:rPr>
          <w:b/>
          <w:lang w:val="ru-RU"/>
        </w:rPr>
        <w:t>«Заявка на участие в запросе котировок по лоту</w:t>
      </w:r>
      <w:r w:rsidR="00BC3752" w:rsidRPr="004466A8">
        <w:rPr>
          <w:b/>
          <w:lang w:val="ru-RU"/>
        </w:rPr>
        <w:t xml:space="preserve"> </w:t>
      </w:r>
      <w:r w:rsidR="00C468BF">
        <w:rPr>
          <w:b/>
          <w:color w:val="000000" w:themeColor="text1"/>
          <w:szCs w:val="28"/>
          <w:lang w:val="ru-RU"/>
        </w:rPr>
        <w:t>23151101016</w:t>
      </w:r>
      <w:r w:rsidR="00B962F3" w:rsidRPr="00B962F3">
        <w:rPr>
          <w:b/>
          <w:color w:val="000000" w:themeColor="text1"/>
          <w:szCs w:val="28"/>
          <w:lang w:val="ru-RU"/>
        </w:rPr>
        <w:t xml:space="preserve"> </w:t>
      </w:r>
      <w:r w:rsidR="00BC3752" w:rsidRPr="004466A8">
        <w:rPr>
          <w:b/>
          <w:lang w:val="ru-RU"/>
        </w:rPr>
        <w:t xml:space="preserve"> </w:t>
      </w:r>
      <w:r w:rsidR="003A5074" w:rsidRPr="004466A8">
        <w:rPr>
          <w:b/>
          <w:szCs w:val="28"/>
          <w:lang w:val="ru-RU" w:eastAsia="ru-RU"/>
        </w:rPr>
        <w:t xml:space="preserve">на право заключения договора </w:t>
      </w:r>
      <w:r w:rsidR="00C468BF" w:rsidRPr="00C468BF">
        <w:rPr>
          <w:b/>
          <w:lang w:val="ru-RU"/>
        </w:rPr>
        <w:t>на поставку зуботехнического оборудования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4AD9"/>
    <w:rsid w:val="001F6D8B"/>
    <w:rsid w:val="002139E3"/>
    <w:rsid w:val="00221744"/>
    <w:rsid w:val="002276F1"/>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466A8"/>
    <w:rsid w:val="00464BB5"/>
    <w:rsid w:val="00473CB5"/>
    <w:rsid w:val="00494B01"/>
    <w:rsid w:val="004A0460"/>
    <w:rsid w:val="004A6CA4"/>
    <w:rsid w:val="004B2F1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44E6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D37C8"/>
    <w:rsid w:val="008E18E6"/>
    <w:rsid w:val="008F4D61"/>
    <w:rsid w:val="008F7589"/>
    <w:rsid w:val="00904E22"/>
    <w:rsid w:val="009146E4"/>
    <w:rsid w:val="009227F6"/>
    <w:rsid w:val="00925D4F"/>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014F"/>
    <w:rsid w:val="00A11D3F"/>
    <w:rsid w:val="00A25793"/>
    <w:rsid w:val="00A428BB"/>
    <w:rsid w:val="00A77771"/>
    <w:rsid w:val="00AB6B8D"/>
    <w:rsid w:val="00AD5719"/>
    <w:rsid w:val="00AD7807"/>
    <w:rsid w:val="00AE233F"/>
    <w:rsid w:val="00AE260E"/>
    <w:rsid w:val="00AF36C5"/>
    <w:rsid w:val="00AF4AAC"/>
    <w:rsid w:val="00B12210"/>
    <w:rsid w:val="00B31BFD"/>
    <w:rsid w:val="00B3408E"/>
    <w:rsid w:val="00B73574"/>
    <w:rsid w:val="00B9364C"/>
    <w:rsid w:val="00B962F3"/>
    <w:rsid w:val="00BA17B7"/>
    <w:rsid w:val="00BC3752"/>
    <w:rsid w:val="00BD110B"/>
    <w:rsid w:val="00BD50DD"/>
    <w:rsid w:val="00BE376E"/>
    <w:rsid w:val="00BE7452"/>
    <w:rsid w:val="00C00308"/>
    <w:rsid w:val="00C238B1"/>
    <w:rsid w:val="00C41CCF"/>
    <w:rsid w:val="00C42351"/>
    <w:rsid w:val="00C45B0C"/>
    <w:rsid w:val="00C468BF"/>
    <w:rsid w:val="00C5130B"/>
    <w:rsid w:val="00C7632A"/>
    <w:rsid w:val="00C96A9A"/>
    <w:rsid w:val="00CA2FAD"/>
    <w:rsid w:val="00CB1324"/>
    <w:rsid w:val="00CB3689"/>
    <w:rsid w:val="00CE0CEF"/>
    <w:rsid w:val="00CF6FB1"/>
    <w:rsid w:val="00D067BD"/>
    <w:rsid w:val="00D13A6D"/>
    <w:rsid w:val="00D21AA5"/>
    <w:rsid w:val="00D239E2"/>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17</Pages>
  <Words>5622</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153</cp:revision>
  <cp:lastPrinted>2020-09-25T13:22:00Z</cp:lastPrinted>
  <dcterms:created xsi:type="dcterms:W3CDTF">2018-07-31T16:24:00Z</dcterms:created>
  <dcterms:modified xsi:type="dcterms:W3CDTF">2023-03-20T07:05:00Z</dcterms:modified>
</cp:coreProperties>
</file>