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757571">
        <w:rPr>
          <w:rFonts w:ascii="Times New Roman" w:eastAsia="Calibri" w:hAnsi="Times New Roman" w:cs="Times New Roman"/>
          <w:b/>
          <w:iCs/>
          <w:kern w:val="3"/>
          <w:sz w:val="24"/>
          <w:szCs w:val="24"/>
          <w:lang w:eastAsia="ru-RU"/>
        </w:rPr>
        <w:t>бумагу писчую</w:t>
      </w:r>
      <w:r w:rsidR="00D057B5">
        <w:rPr>
          <w:rFonts w:ascii="Times New Roman" w:eastAsia="Calibri" w:hAnsi="Times New Roman" w:cs="Times New Roman"/>
          <w:b/>
          <w:iCs/>
          <w:kern w:val="3"/>
          <w:sz w:val="24"/>
          <w:szCs w:val="24"/>
          <w:lang w:eastAsia="ru-RU"/>
        </w:rPr>
        <w:t xml:space="preserve"> </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r w:rsidR="00D057B5">
        <w:rPr>
          <w:rFonts w:ascii="Times New Roman" w:eastAsia="Calibri" w:hAnsi="Times New Roman" w:cs="Times New Roman"/>
          <w:kern w:val="3"/>
          <w:sz w:val="24"/>
          <w:szCs w:val="24"/>
          <w:lang w:eastAsia="ru-RU"/>
        </w:rPr>
        <w:t xml:space="preserve"> в течение 14</w:t>
      </w:r>
      <w:r w:rsidR="00D057B5" w:rsidRPr="00D057B5">
        <w:rPr>
          <w:rFonts w:ascii="Times New Roman" w:eastAsia="Calibri" w:hAnsi="Times New Roman" w:cs="Times New Roman"/>
          <w:kern w:val="3"/>
          <w:sz w:val="24"/>
          <w:szCs w:val="24"/>
          <w:lang w:eastAsia="ru-RU"/>
        </w:rPr>
        <w:t xml:space="preserve"> (</w:t>
      </w:r>
      <w:r w:rsidR="00D057B5">
        <w:rPr>
          <w:rFonts w:ascii="Times New Roman" w:eastAsia="Calibri" w:hAnsi="Times New Roman" w:cs="Times New Roman"/>
          <w:kern w:val="3"/>
          <w:sz w:val="24"/>
          <w:szCs w:val="24"/>
          <w:lang w:eastAsia="ru-RU"/>
        </w:rPr>
        <w:t>четырнадцать</w:t>
      </w:r>
      <w:r w:rsidR="00D057B5" w:rsidRPr="00D057B5">
        <w:rPr>
          <w:rFonts w:ascii="Times New Roman" w:eastAsia="Calibri" w:hAnsi="Times New Roman" w:cs="Times New Roman"/>
          <w:kern w:val="3"/>
          <w:sz w:val="24"/>
          <w:szCs w:val="24"/>
          <w:lang w:eastAsia="ru-RU"/>
        </w:rPr>
        <w:t>)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 xml:space="preserve">169900,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A314B3">
        <w:rPr>
          <w:rFonts w:ascii="Times New Roman" w:eastAsia="Calibri" w:hAnsi="Times New Roman" w:cs="Times New Roman"/>
          <w:kern w:val="3"/>
          <w:sz w:val="24"/>
          <w:szCs w:val="24"/>
          <w:lang w:eastAsia="ru-RU"/>
        </w:rPr>
        <w:t>Печора, ул.Н.Островского,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06203">
        <w:rPr>
          <w:rFonts w:ascii="Times New Roman" w:eastAsia="Times New Roman" w:hAnsi="Times New Roman" w:cs="Times New Roman"/>
          <w:sz w:val="24"/>
          <w:szCs w:val="24"/>
          <w:lang w:eastAsia="ru-RU"/>
        </w:rPr>
        <w:t xml:space="preserve">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w:t>
      </w:r>
      <w:proofErr w:type="gramEnd"/>
      <w:r w:rsidRPr="00106203">
        <w:rPr>
          <w:rFonts w:ascii="Times New Roman" w:eastAsia="Times New Roman" w:hAnsi="Times New Roman" w:cs="Times New Roman"/>
          <w:sz w:val="24"/>
          <w:szCs w:val="24"/>
          <w:lang w:eastAsia="ru-RU"/>
        </w:rPr>
        <w:t xml:space="preserve">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lastRenderedPageBreak/>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106203">
        <w:rPr>
          <w:rFonts w:ascii="Times New Roman" w:eastAsia="Times New Roman" w:hAnsi="Times New Roman" w:cs="Times New Roman"/>
          <w:sz w:val="24"/>
          <w:szCs w:val="24"/>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B517D5">
        <w:rPr>
          <w:rFonts w:ascii="Times New Roman" w:eastAsia="Calibri" w:hAnsi="Times New Roman" w:cs="Times New Roman"/>
          <w:kern w:val="3"/>
          <w:sz w:val="24"/>
          <w:szCs w:val="24"/>
          <w:highlight w:val="yellow"/>
          <w:lang w:eastAsia="ru-RU"/>
        </w:rPr>
        <w:t>30</w:t>
      </w:r>
      <w:r w:rsidR="004147DB" w:rsidRPr="00B517D5">
        <w:rPr>
          <w:rFonts w:ascii="Times New Roman" w:eastAsia="Calibri" w:hAnsi="Times New Roman" w:cs="Times New Roman"/>
          <w:kern w:val="3"/>
          <w:sz w:val="24"/>
          <w:szCs w:val="24"/>
          <w:highlight w:val="yellow"/>
          <w:lang w:eastAsia="ru-RU"/>
        </w:rPr>
        <w:t xml:space="preserve">» </w:t>
      </w:r>
      <w:r w:rsidR="00B517D5">
        <w:rPr>
          <w:rFonts w:ascii="Times New Roman" w:eastAsia="Calibri" w:hAnsi="Times New Roman" w:cs="Times New Roman"/>
          <w:kern w:val="3"/>
          <w:sz w:val="24"/>
          <w:szCs w:val="24"/>
          <w:highlight w:val="yellow"/>
          <w:lang w:eastAsia="ru-RU"/>
        </w:rPr>
        <w:t>июня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106203">
        <w:rPr>
          <w:rFonts w:ascii="Times New Roman" w:eastAsia="Times New Roman" w:hAnsi="Times New Roman" w:cs="Times New Roman"/>
          <w:sz w:val="24"/>
          <w:szCs w:val="24"/>
          <w:lang w:eastAsia="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E6" w:rsidRDefault="005A72E6" w:rsidP="00106203">
      <w:pPr>
        <w:spacing w:after="0" w:line="240" w:lineRule="auto"/>
      </w:pPr>
      <w:r>
        <w:separator/>
      </w:r>
    </w:p>
  </w:endnote>
  <w:endnote w:type="continuationSeparator" w:id="0">
    <w:p w:rsidR="005A72E6" w:rsidRDefault="005A72E6"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E6" w:rsidRDefault="005A72E6" w:rsidP="00106203">
      <w:pPr>
        <w:spacing w:after="0" w:line="240" w:lineRule="auto"/>
      </w:pPr>
      <w:r>
        <w:separator/>
      </w:r>
    </w:p>
  </w:footnote>
  <w:footnote w:type="continuationSeparator" w:id="0">
    <w:p w:rsidR="005A72E6" w:rsidRDefault="005A72E6"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E217CE">
        <w:pPr>
          <w:pStyle w:val="a7"/>
          <w:jc w:val="center"/>
        </w:pPr>
        <w:r>
          <w:fldChar w:fldCharType="begin"/>
        </w:r>
        <w:r w:rsidR="007B1D81">
          <w:instrText xml:space="preserve"> PAGE   \* MERGEFORMAT </w:instrText>
        </w:r>
        <w:r>
          <w:fldChar w:fldCharType="separate"/>
        </w:r>
        <w:r w:rsidR="00757571">
          <w:rPr>
            <w:noProof/>
          </w:rPr>
          <w:t>2</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063A7"/>
    <w:rsid w:val="001154BD"/>
    <w:rsid w:val="0012502F"/>
    <w:rsid w:val="00141021"/>
    <w:rsid w:val="00195D7D"/>
    <w:rsid w:val="001B47CC"/>
    <w:rsid w:val="00275264"/>
    <w:rsid w:val="00275CE1"/>
    <w:rsid w:val="002F7EB3"/>
    <w:rsid w:val="0031477C"/>
    <w:rsid w:val="00336C89"/>
    <w:rsid w:val="00361513"/>
    <w:rsid w:val="00397B1C"/>
    <w:rsid w:val="00406060"/>
    <w:rsid w:val="004147DB"/>
    <w:rsid w:val="00427A87"/>
    <w:rsid w:val="00477400"/>
    <w:rsid w:val="00482013"/>
    <w:rsid w:val="004D6098"/>
    <w:rsid w:val="00515291"/>
    <w:rsid w:val="00573E82"/>
    <w:rsid w:val="00592645"/>
    <w:rsid w:val="005948C1"/>
    <w:rsid w:val="005A32F5"/>
    <w:rsid w:val="005A72E6"/>
    <w:rsid w:val="005C21E5"/>
    <w:rsid w:val="005E0017"/>
    <w:rsid w:val="005E119E"/>
    <w:rsid w:val="00601112"/>
    <w:rsid w:val="00602E43"/>
    <w:rsid w:val="006106AB"/>
    <w:rsid w:val="00637557"/>
    <w:rsid w:val="00692BD6"/>
    <w:rsid w:val="00757571"/>
    <w:rsid w:val="0079548E"/>
    <w:rsid w:val="007B1D81"/>
    <w:rsid w:val="007F6FF9"/>
    <w:rsid w:val="00813239"/>
    <w:rsid w:val="00821F2A"/>
    <w:rsid w:val="00865BA3"/>
    <w:rsid w:val="00983CBF"/>
    <w:rsid w:val="009F11A4"/>
    <w:rsid w:val="009F1839"/>
    <w:rsid w:val="00A314B3"/>
    <w:rsid w:val="00A82C20"/>
    <w:rsid w:val="00B03B26"/>
    <w:rsid w:val="00B06B52"/>
    <w:rsid w:val="00B06DDE"/>
    <w:rsid w:val="00B06E31"/>
    <w:rsid w:val="00B268B4"/>
    <w:rsid w:val="00B517D5"/>
    <w:rsid w:val="00B604C0"/>
    <w:rsid w:val="00B62199"/>
    <w:rsid w:val="00BE61E9"/>
    <w:rsid w:val="00C5729B"/>
    <w:rsid w:val="00D057B5"/>
    <w:rsid w:val="00D07828"/>
    <w:rsid w:val="00D166DE"/>
    <w:rsid w:val="00D20CEF"/>
    <w:rsid w:val="00D216B1"/>
    <w:rsid w:val="00DD1F46"/>
    <w:rsid w:val="00E217CE"/>
    <w:rsid w:val="00E54D1B"/>
    <w:rsid w:val="00E61702"/>
    <w:rsid w:val="00E674E9"/>
    <w:rsid w:val="00F130F4"/>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36</cp:revision>
  <dcterms:created xsi:type="dcterms:W3CDTF">2020-11-12T06:17:00Z</dcterms:created>
  <dcterms:modified xsi:type="dcterms:W3CDTF">2022-03-29T10:10:00Z</dcterms:modified>
</cp:coreProperties>
</file>